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EBEC" w14:textId="77777777" w:rsidR="003762EF" w:rsidRDefault="007016C4" w:rsidP="003762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4F45425E" w14:textId="5BAF2E88" w:rsidR="007016C4" w:rsidRPr="003762EF" w:rsidRDefault="007016C4" w:rsidP="003762E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2EF">
        <w:rPr>
          <w:rFonts w:ascii="Times New Roman" w:hAnsi="Times New Roman" w:cs="Times New Roman"/>
          <w:sz w:val="24"/>
          <w:szCs w:val="24"/>
        </w:rPr>
        <w:t>Abdel-</w:t>
      </w:r>
      <w:proofErr w:type="spellStart"/>
      <w:r w:rsidRPr="003762EF">
        <w:rPr>
          <w:rFonts w:ascii="Times New Roman" w:hAnsi="Times New Roman" w:cs="Times New Roman"/>
          <w:sz w:val="24"/>
          <w:szCs w:val="24"/>
        </w:rPr>
        <w:t>Razeq</w:t>
      </w:r>
      <w:proofErr w:type="spellEnd"/>
      <w:r w:rsidRPr="003762EF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3762EF">
        <w:rPr>
          <w:rFonts w:ascii="Times New Roman" w:hAnsi="Times New Roman" w:cs="Times New Roman"/>
          <w:sz w:val="24"/>
          <w:szCs w:val="24"/>
        </w:rPr>
        <w:t>Edaily</w:t>
      </w:r>
      <w:proofErr w:type="spellEnd"/>
      <w:r w:rsidRPr="003762EF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762EF">
        <w:rPr>
          <w:rFonts w:ascii="Times New Roman" w:hAnsi="Times New Roman" w:cs="Times New Roman"/>
          <w:sz w:val="24"/>
          <w:szCs w:val="24"/>
        </w:rPr>
        <w:t>Iweir</w:t>
      </w:r>
      <w:proofErr w:type="spellEnd"/>
      <w:r w:rsidRPr="003762EF">
        <w:rPr>
          <w:rFonts w:ascii="Times New Roman" w:hAnsi="Times New Roman" w:cs="Times New Roman"/>
          <w:sz w:val="24"/>
          <w:szCs w:val="24"/>
        </w:rPr>
        <w:t xml:space="preserve">, S., Salam, M., </w:t>
      </w:r>
      <w:proofErr w:type="spellStart"/>
      <w:r w:rsidRPr="003762EF">
        <w:rPr>
          <w:rFonts w:ascii="Times New Roman" w:hAnsi="Times New Roman" w:cs="Times New Roman"/>
          <w:sz w:val="24"/>
          <w:szCs w:val="24"/>
        </w:rPr>
        <w:t>Seleh</w:t>
      </w:r>
      <w:proofErr w:type="spellEnd"/>
      <w:r w:rsidRPr="003762EF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3762EF">
        <w:rPr>
          <w:rFonts w:ascii="Times New Roman" w:hAnsi="Times New Roman" w:cs="Times New Roman"/>
          <w:sz w:val="24"/>
          <w:szCs w:val="24"/>
        </w:rPr>
        <w:t>Sughayer</w:t>
      </w:r>
      <w:proofErr w:type="spellEnd"/>
      <w:r w:rsidRPr="003762EF">
        <w:rPr>
          <w:rFonts w:ascii="Times New Roman" w:hAnsi="Times New Roman" w:cs="Times New Roman"/>
          <w:sz w:val="24"/>
          <w:szCs w:val="24"/>
        </w:rPr>
        <w:t xml:space="preserve">, M., . . . </w:t>
      </w:r>
      <w:proofErr w:type="spellStart"/>
      <w:r w:rsidRPr="003762EF">
        <w:rPr>
          <w:rFonts w:ascii="Times New Roman" w:hAnsi="Times New Roman" w:cs="Times New Roman"/>
          <w:sz w:val="24"/>
          <w:szCs w:val="24"/>
        </w:rPr>
        <w:t>Taqash</w:t>
      </w:r>
      <w:proofErr w:type="spellEnd"/>
      <w:r w:rsidRPr="003762EF">
        <w:rPr>
          <w:rFonts w:ascii="Times New Roman" w:hAnsi="Times New Roman" w:cs="Times New Roman"/>
          <w:sz w:val="24"/>
          <w:szCs w:val="24"/>
        </w:rPr>
        <w:t>, A. (2020). Effect of level of hormone-receptor expression on treatment outcomes of “triple-positive” early-stage breast cancer. Retrieved from https://doi-org.misericordia.idm.oclc.org/10.1007/s10549-020-05942-6</w:t>
      </w:r>
    </w:p>
    <w:p w14:paraId="161A2A53" w14:textId="2B5A6642" w:rsidR="003762EF" w:rsidRDefault="0028195D" w:rsidP="00A47A54">
      <w:pPr>
        <w:pStyle w:val="NormalWeb"/>
        <w:spacing w:before="0" w:beforeAutospacing="0" w:after="0" w:afterAutospacing="0" w:line="480" w:lineRule="auto"/>
        <w:ind w:left="630" w:hanging="630"/>
      </w:pPr>
      <w:bookmarkStart w:id="0" w:name="_Hlk131369688"/>
      <w:r w:rsidRPr="003762EF">
        <w:rPr>
          <w:rFonts w:eastAsia="Roboto"/>
        </w:rPr>
        <w:t>Clinical Affiliate Site. (2022). Mammogram</w:t>
      </w:r>
      <w:r w:rsidRPr="003762EF">
        <w:rPr>
          <w:rFonts w:eastAsia="Roboto"/>
          <w:i/>
          <w:iCs/>
        </w:rPr>
        <w:t> </w:t>
      </w:r>
      <w:r w:rsidRPr="003762EF">
        <w:rPr>
          <w:rFonts w:eastAsia="Roboto"/>
        </w:rPr>
        <w:t>[X-ray Image]. Retrieved from Clinical Affiliate Site.</w:t>
      </w:r>
      <w:bookmarkEnd w:id="0"/>
    </w:p>
    <w:p w14:paraId="1843434A" w14:textId="03CCA1BA" w:rsidR="0028195D" w:rsidRPr="003762EF" w:rsidRDefault="0028195D" w:rsidP="00A47A54">
      <w:pPr>
        <w:pStyle w:val="NormalWeb"/>
        <w:spacing w:before="0" w:beforeAutospacing="0" w:after="0" w:afterAutospacing="0" w:line="480" w:lineRule="auto"/>
        <w:ind w:left="230" w:hanging="230"/>
      </w:pPr>
      <w:r w:rsidRPr="003762EF">
        <w:rPr>
          <w:rFonts w:eastAsia="Roboto"/>
        </w:rPr>
        <w:t>Clinical Affiliate Site. (2022). Ultrasound</w:t>
      </w:r>
      <w:r w:rsidRPr="003762EF">
        <w:rPr>
          <w:rFonts w:eastAsia="Roboto"/>
          <w:i/>
          <w:iCs/>
        </w:rPr>
        <w:t> </w:t>
      </w:r>
      <w:r w:rsidRPr="003762EF">
        <w:rPr>
          <w:rFonts w:eastAsia="Roboto"/>
        </w:rPr>
        <w:t>[</w:t>
      </w:r>
      <w:r w:rsidR="00A47A54">
        <w:rPr>
          <w:rFonts w:eastAsia="Roboto"/>
        </w:rPr>
        <w:t>Ultrasound</w:t>
      </w:r>
      <w:r w:rsidRPr="003762EF">
        <w:rPr>
          <w:rFonts w:eastAsia="Roboto"/>
        </w:rPr>
        <w:t xml:space="preserve"> Image]. Retrieved from Clinical Affiliate Site.</w:t>
      </w:r>
    </w:p>
    <w:p w14:paraId="2F0FFF6B" w14:textId="46CF42D2" w:rsidR="007016C4" w:rsidRPr="003762EF" w:rsidRDefault="007016C4" w:rsidP="007016C4">
      <w:pPr>
        <w:pStyle w:val="NormalWeb"/>
        <w:spacing w:line="480" w:lineRule="auto"/>
        <w:ind w:left="567" w:hanging="567"/>
      </w:pPr>
      <w:r w:rsidRPr="003762EF">
        <w:t xml:space="preserve">Eisenberg, R. L., &amp; Johnson, N. M. (2021). </w:t>
      </w:r>
      <w:r w:rsidRPr="003762EF">
        <w:rPr>
          <w:i/>
          <w:iCs/>
        </w:rPr>
        <w:t>Comprehensive radiographic pathology</w:t>
      </w:r>
      <w:r w:rsidRPr="003762EF">
        <w:t xml:space="preserve"> (</w:t>
      </w:r>
      <w:r w:rsidR="00ED1CC2" w:rsidRPr="003762EF">
        <w:t>7</w:t>
      </w:r>
      <w:r w:rsidR="00ED1CC2" w:rsidRPr="003762EF">
        <w:rPr>
          <w:vertAlign w:val="superscript"/>
        </w:rPr>
        <w:t>th</w:t>
      </w:r>
      <w:r w:rsidR="00ED1CC2" w:rsidRPr="003762EF">
        <w:t xml:space="preserve"> </w:t>
      </w:r>
      <w:r w:rsidRPr="003762EF">
        <w:t>ed.). St. Louis, MO: Elsevier.</w:t>
      </w:r>
    </w:p>
    <w:p w14:paraId="13C67B99" w14:textId="0D576A82" w:rsidR="007016C4" w:rsidRPr="003762EF" w:rsidRDefault="007016C4" w:rsidP="007016C4">
      <w:pPr>
        <w:pStyle w:val="NormalWeb"/>
        <w:spacing w:line="480" w:lineRule="auto"/>
        <w:ind w:left="567" w:hanging="567"/>
      </w:pPr>
      <w:proofErr w:type="spellStart"/>
      <w:r w:rsidRPr="003762EF">
        <w:t>Elsers</w:t>
      </w:r>
      <w:proofErr w:type="spellEnd"/>
      <w:r w:rsidRPr="003762EF">
        <w:t>, D. A., Mostafa Masoud, E., Kamel, N. A., &amp; Ahmed, A. M. (2021). Immunohistochemical signaling pathways of triple negative and triple positive breast cancers: What is new?</w:t>
      </w:r>
      <w:r w:rsidR="00505F84" w:rsidRPr="00505F84">
        <w:rPr>
          <w:i/>
          <w:iCs/>
        </w:rPr>
        <w:t xml:space="preserve"> </w:t>
      </w:r>
      <w:r w:rsidR="00505F84">
        <w:rPr>
          <w:i/>
          <w:iCs/>
        </w:rPr>
        <w:t>Annals of Diagnostic Pathology,</w:t>
      </w:r>
      <w:r w:rsidR="00505F84">
        <w:t xml:space="preserve"> </w:t>
      </w:r>
      <w:r w:rsidR="00505F84">
        <w:rPr>
          <w:i/>
          <w:iCs/>
        </w:rPr>
        <w:t>55.</w:t>
      </w:r>
      <w:r w:rsidRPr="003762EF">
        <w:t xml:space="preserve"> Retrieved from https://doi.org/10.1016/j.anndiagpath.2021.151831</w:t>
      </w:r>
    </w:p>
    <w:p w14:paraId="40805A40" w14:textId="6D9DC1EF" w:rsidR="007016C4" w:rsidRPr="003762EF" w:rsidRDefault="00ED1CC2" w:rsidP="007016C4">
      <w:pPr>
        <w:pStyle w:val="NormalWeb"/>
        <w:spacing w:line="480" w:lineRule="auto"/>
        <w:ind w:left="567" w:hanging="567"/>
      </w:pPr>
      <w:r w:rsidRPr="003762EF">
        <w:t>Goshen Health</w:t>
      </w:r>
      <w:r w:rsidR="007016C4" w:rsidRPr="003762EF">
        <w:t xml:space="preserve"> (2022). Triple-positive breast cancer: HER2 positive breast cancer</w:t>
      </w:r>
      <w:r w:rsidR="00847129">
        <w:t>.</w:t>
      </w:r>
      <w:r w:rsidR="00467FFE">
        <w:t xml:space="preserve"> </w:t>
      </w:r>
      <w:r w:rsidR="007016C4" w:rsidRPr="003762EF">
        <w:t>Retrieved from https://goshenhealth.com/health-library/triple-positive-breast-cancer</w:t>
      </w:r>
    </w:p>
    <w:p w14:paraId="17130F89" w14:textId="5825DD51" w:rsidR="007016C4" w:rsidRPr="003762EF" w:rsidRDefault="007016C4" w:rsidP="007016C4">
      <w:pPr>
        <w:pStyle w:val="NormalWeb"/>
        <w:spacing w:line="480" w:lineRule="auto"/>
        <w:ind w:left="567" w:hanging="567"/>
      </w:pPr>
      <w:r w:rsidRPr="003762EF">
        <w:t>Ma, D., Yang, Q., Yin, K., Shi, P., Chen, X., Dong, T., . . . Tian, X. (202</w:t>
      </w:r>
      <w:r w:rsidR="002C2FCB">
        <w:t>3</w:t>
      </w:r>
      <w:r w:rsidRPr="003762EF">
        <w:t>). Analysis of the clinicopathological characteristics and prognosis of triple-positive breast cancer and HER2-positive breast cancer-A retrospective study</w:t>
      </w:r>
      <w:r w:rsidR="00505F84">
        <w:t>.</w:t>
      </w:r>
      <w:r w:rsidR="002C2FCB">
        <w:t xml:space="preserve"> </w:t>
      </w:r>
      <w:r w:rsidR="002C2FCB">
        <w:rPr>
          <w:i/>
          <w:iCs/>
        </w:rPr>
        <w:t>Frontiers in Oncology,</w:t>
      </w:r>
      <w:r w:rsidR="002C2FCB">
        <w:t xml:space="preserve"> </w:t>
      </w:r>
      <w:r w:rsidR="002C2FCB">
        <w:rPr>
          <w:i/>
          <w:iCs/>
        </w:rPr>
        <w:t>12</w:t>
      </w:r>
      <w:r w:rsidRPr="003762EF">
        <w:t>. Retrieved from https://www.frontiersin.org/articles/10.3389/fonc.2022.999894/full</w:t>
      </w:r>
    </w:p>
    <w:p w14:paraId="5147BCC8" w14:textId="3FA8510E" w:rsidR="007016C4" w:rsidRPr="003762EF" w:rsidRDefault="007016C4" w:rsidP="007016C4">
      <w:pPr>
        <w:pStyle w:val="NormalWeb"/>
        <w:spacing w:line="480" w:lineRule="auto"/>
        <w:ind w:left="567" w:hanging="567"/>
      </w:pPr>
      <w:r w:rsidRPr="003762EF">
        <w:lastRenderedPageBreak/>
        <w:t xml:space="preserve">Zeng, J., Edelweiss, M., Ross, D. S., Xu, B., Moo, T., </w:t>
      </w:r>
      <w:proofErr w:type="spellStart"/>
      <w:r w:rsidRPr="003762EF">
        <w:t>Brogi</w:t>
      </w:r>
      <w:proofErr w:type="spellEnd"/>
      <w:r w:rsidRPr="003762EF">
        <w:t xml:space="preserve">, E., &amp; </w:t>
      </w:r>
      <w:proofErr w:type="spellStart"/>
      <w:r w:rsidRPr="003762EF">
        <w:t>D'Alfonso</w:t>
      </w:r>
      <w:proofErr w:type="spellEnd"/>
      <w:r w:rsidRPr="003762EF">
        <w:t>, T. M.</w:t>
      </w:r>
      <w:r w:rsidR="0096172E">
        <w:t xml:space="preserve"> </w:t>
      </w:r>
      <w:r w:rsidRPr="003762EF">
        <w:t>(2020). Triple-</w:t>
      </w:r>
      <w:r w:rsidR="0096172E">
        <w:t>p</w:t>
      </w:r>
      <w:r w:rsidRPr="003762EF">
        <w:t xml:space="preserve">ositive </w:t>
      </w:r>
      <w:r w:rsidR="0096172E">
        <w:t>b</w:t>
      </w:r>
      <w:r w:rsidRPr="003762EF">
        <w:t xml:space="preserve">reast </w:t>
      </w:r>
      <w:r w:rsidR="0096172E">
        <w:t>c</w:t>
      </w:r>
      <w:r w:rsidRPr="003762EF">
        <w:t xml:space="preserve">arcinoma: Histopathologic </w:t>
      </w:r>
      <w:r w:rsidR="0096172E">
        <w:t>f</w:t>
      </w:r>
      <w:r w:rsidRPr="003762EF">
        <w:t xml:space="preserve">eatures and </w:t>
      </w:r>
      <w:r w:rsidR="0096172E">
        <w:t>r</w:t>
      </w:r>
      <w:r w:rsidRPr="003762EF">
        <w:t xml:space="preserve">esponse to </w:t>
      </w:r>
      <w:r w:rsidR="0096172E">
        <w:t>n</w:t>
      </w:r>
      <w:r w:rsidRPr="003762EF">
        <w:t xml:space="preserve">eoadjuvant </w:t>
      </w:r>
      <w:r w:rsidR="0096172E">
        <w:t>c</w:t>
      </w:r>
      <w:r w:rsidRPr="003762EF">
        <w:t>hemotherapy</w:t>
      </w:r>
      <w:r w:rsidR="00505F84">
        <w:t>.</w:t>
      </w:r>
      <w:r w:rsidR="006347C5">
        <w:t xml:space="preserve"> </w:t>
      </w:r>
      <w:r w:rsidR="006347C5">
        <w:rPr>
          <w:i/>
          <w:iCs/>
        </w:rPr>
        <w:t>Archives of Pathology &amp; Laboratory Medicine,</w:t>
      </w:r>
      <w:r w:rsidR="006347C5">
        <w:t xml:space="preserve"> </w:t>
      </w:r>
      <w:r w:rsidR="006347C5">
        <w:rPr>
          <w:i/>
          <w:iCs/>
        </w:rPr>
        <w:t>145</w:t>
      </w:r>
      <w:r w:rsidR="006347C5">
        <w:t>(6), 728-735</w:t>
      </w:r>
      <w:r w:rsidRPr="003762EF">
        <w:t>. Retrieved from https://doi.org/10.5858/arpa.2020-0293-OA</w:t>
      </w:r>
    </w:p>
    <w:p w14:paraId="26785EE6" w14:textId="77777777" w:rsidR="007016C4" w:rsidRPr="003762EF" w:rsidRDefault="007016C4" w:rsidP="007016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016C4" w:rsidRPr="0037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2978" w14:textId="77777777" w:rsidR="005274D2" w:rsidRDefault="005274D2" w:rsidP="005274D2">
      <w:pPr>
        <w:spacing w:after="0" w:line="240" w:lineRule="auto"/>
      </w:pPr>
      <w:r>
        <w:separator/>
      </w:r>
    </w:p>
  </w:endnote>
  <w:endnote w:type="continuationSeparator" w:id="0">
    <w:p w14:paraId="6194672D" w14:textId="77777777" w:rsidR="005274D2" w:rsidRDefault="005274D2" w:rsidP="0052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DDC7" w14:textId="77777777" w:rsidR="005274D2" w:rsidRDefault="005274D2" w:rsidP="005274D2">
      <w:pPr>
        <w:spacing w:after="0" w:line="240" w:lineRule="auto"/>
      </w:pPr>
      <w:r>
        <w:separator/>
      </w:r>
    </w:p>
  </w:footnote>
  <w:footnote w:type="continuationSeparator" w:id="0">
    <w:p w14:paraId="26196599" w14:textId="77777777" w:rsidR="005274D2" w:rsidRDefault="005274D2" w:rsidP="00527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B7"/>
    <w:rsid w:val="0028195D"/>
    <w:rsid w:val="002C2FCB"/>
    <w:rsid w:val="003762EF"/>
    <w:rsid w:val="00467FFE"/>
    <w:rsid w:val="00505F84"/>
    <w:rsid w:val="005274D2"/>
    <w:rsid w:val="005316B7"/>
    <w:rsid w:val="006347C5"/>
    <w:rsid w:val="007016C4"/>
    <w:rsid w:val="007B6876"/>
    <w:rsid w:val="00847129"/>
    <w:rsid w:val="008D0688"/>
    <w:rsid w:val="008E3261"/>
    <w:rsid w:val="0096172E"/>
    <w:rsid w:val="009A0AFA"/>
    <w:rsid w:val="00A47A54"/>
    <w:rsid w:val="00A53805"/>
    <w:rsid w:val="00AE450E"/>
    <w:rsid w:val="00D62E1D"/>
    <w:rsid w:val="00E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5E3B"/>
  <w15:chartTrackingRefBased/>
  <w15:docId w15:val="{0F182ED1-E9A2-4F83-934C-AD0DB88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D2"/>
  </w:style>
  <w:style w:type="paragraph" w:styleId="Footer">
    <w:name w:val="footer"/>
    <w:basedOn w:val="Normal"/>
    <w:link w:val="FooterChar"/>
    <w:uiPriority w:val="99"/>
    <w:unhideWhenUsed/>
    <w:rsid w:val="0052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D2"/>
  </w:style>
  <w:style w:type="character" w:styleId="Hyperlink">
    <w:name w:val="Hyperlink"/>
    <w:basedOn w:val="DefaultParagraphFont"/>
    <w:uiPriority w:val="99"/>
    <w:unhideWhenUsed/>
    <w:rsid w:val="00D62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4A5E-6C1B-4DDD-89C9-AF6C9004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cdaisyseibert@gmail.com</dc:creator>
  <cp:keywords/>
  <dc:description/>
  <cp:lastModifiedBy>cdaisyseibert@gmail.com</cp:lastModifiedBy>
  <cp:revision>17</cp:revision>
  <dcterms:created xsi:type="dcterms:W3CDTF">2023-03-29T19:20:00Z</dcterms:created>
  <dcterms:modified xsi:type="dcterms:W3CDTF">2023-04-11T01:48:00Z</dcterms:modified>
</cp:coreProperties>
</file>