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0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World Health Organization. World Report on Vision. Geneva, Switzerland: World Health Organization; 2019. </w:t>
      </w:r>
    </w:p>
    <w:p w:rsidR="00000000" w:rsidDel="00000000" w:rsidP="00000000" w:rsidRDefault="00000000" w:rsidRPr="00000000" w14:paraId="00000004">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Ackland P, Resnikoff S, Bourne R. World blindness and visual impairment: despite many successes, the problem is growing.</w:t>
      </w:r>
      <w:r w:rsidDel="00000000" w:rsidR="00000000" w:rsidRPr="00000000">
        <w:rPr>
          <w:rFonts w:ascii="Times New Roman" w:cs="Times New Roman" w:eastAsia="Times New Roman" w:hAnsi="Times New Roman"/>
          <w:i w:val="1"/>
          <w:sz w:val="24"/>
          <w:szCs w:val="24"/>
          <w:rtl w:val="0"/>
        </w:rPr>
        <w:t xml:space="preserve"> Community Eye Health. </w:t>
      </w:r>
      <w:r w:rsidDel="00000000" w:rsidR="00000000" w:rsidRPr="00000000">
        <w:rPr>
          <w:rFonts w:ascii="Times New Roman" w:cs="Times New Roman" w:eastAsia="Times New Roman" w:hAnsi="Times New Roman"/>
          <w:sz w:val="24"/>
          <w:szCs w:val="24"/>
          <w:rtl w:val="0"/>
        </w:rPr>
        <w:t xml:space="preserve">2017;30(100):71-73.</w:t>
      </w:r>
    </w:p>
    <w:p w:rsidR="00000000" w:rsidDel="00000000" w:rsidP="00000000" w:rsidRDefault="00000000" w:rsidRPr="00000000" w14:paraId="00000005">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Becker P, Montilha R. Occupational performance and quality of life: Interrelationships in daily life of visual impaired individuals. </w:t>
      </w:r>
      <w:r w:rsidDel="00000000" w:rsidR="00000000" w:rsidRPr="00000000">
        <w:rPr>
          <w:rFonts w:ascii="Times New Roman" w:cs="Times New Roman" w:eastAsia="Times New Roman" w:hAnsi="Times New Roman"/>
          <w:i w:val="1"/>
          <w:sz w:val="24"/>
          <w:szCs w:val="24"/>
          <w:rtl w:val="0"/>
        </w:rPr>
        <w:t xml:space="preserve">Rev Bras Oftalmol</w:t>
      </w:r>
      <w:r w:rsidDel="00000000" w:rsidR="00000000" w:rsidRPr="00000000">
        <w:rPr>
          <w:rFonts w:ascii="Times New Roman" w:cs="Times New Roman" w:eastAsia="Times New Roman" w:hAnsi="Times New Roman"/>
          <w:sz w:val="24"/>
          <w:szCs w:val="24"/>
          <w:rtl w:val="0"/>
        </w:rPr>
        <w:t xml:space="preserve">. 2015;74(6):372-377. doi:10.5935/0034-7280.20150078 </w:t>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Brian A, Pennell A, Haibach-Beach P, Foley J, Taunton S, Lieberman LJ. Correlates of physical activity among children with visual impairments. </w:t>
      </w:r>
      <w:r w:rsidDel="00000000" w:rsidR="00000000" w:rsidRPr="00000000">
        <w:rPr>
          <w:rFonts w:ascii="Times New Roman" w:cs="Times New Roman" w:eastAsia="Times New Roman" w:hAnsi="Times New Roman"/>
          <w:i w:val="1"/>
          <w:sz w:val="24"/>
          <w:szCs w:val="24"/>
          <w:rtl w:val="0"/>
        </w:rPr>
        <w:t xml:space="preserve">Disabil Health J. </w:t>
      </w:r>
      <w:r w:rsidDel="00000000" w:rsidR="00000000" w:rsidRPr="00000000">
        <w:rPr>
          <w:rFonts w:ascii="Times New Roman" w:cs="Times New Roman" w:eastAsia="Times New Roman" w:hAnsi="Times New Roman"/>
          <w:sz w:val="24"/>
          <w:szCs w:val="24"/>
          <w:rtl w:val="0"/>
        </w:rPr>
        <w:t xml:space="preserve">2019;12(2):328-333. doi:10.1016/j.dhjo.2018.10.007</w:t>
      </w:r>
    </w:p>
    <w:p w:rsidR="00000000" w:rsidDel="00000000" w:rsidP="00000000" w:rsidRDefault="00000000" w:rsidRPr="00000000" w14:paraId="00000007">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Elsman EB, van Rens GH, van Nispen RM. Impact of visual impairment on the lives of young adults in the Netherlands: a concept-mapping approach. </w:t>
      </w:r>
      <w:r w:rsidDel="00000000" w:rsidR="00000000" w:rsidRPr="00000000">
        <w:rPr>
          <w:rFonts w:ascii="Times New Roman" w:cs="Times New Roman" w:eastAsia="Times New Roman" w:hAnsi="Times New Roman"/>
          <w:i w:val="1"/>
          <w:sz w:val="24"/>
          <w:szCs w:val="24"/>
          <w:rtl w:val="0"/>
        </w:rPr>
        <w:t xml:space="preserve">Disabil and Rehabil. </w:t>
      </w:r>
      <w:r w:rsidDel="00000000" w:rsidR="00000000" w:rsidRPr="00000000">
        <w:rPr>
          <w:rFonts w:ascii="Times New Roman" w:cs="Times New Roman" w:eastAsia="Times New Roman" w:hAnsi="Times New Roman"/>
          <w:sz w:val="24"/>
          <w:szCs w:val="24"/>
          <w:rtl w:val="0"/>
        </w:rPr>
        <w:t xml:space="preserve">2018;39(26):2607-2618. doi:10.1080/09638288.2016.1236408</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Rainey L, Elsman EB, van Nispen RM, van Leeuwen LM, van Rens GH. Comprehending the impact of low vision on the lives of children and adolescents: a qualitative approach. </w:t>
      </w:r>
      <w:r w:rsidDel="00000000" w:rsidR="00000000" w:rsidRPr="00000000">
        <w:rPr>
          <w:rFonts w:ascii="Times New Roman" w:cs="Times New Roman" w:eastAsia="Times New Roman" w:hAnsi="Times New Roman"/>
          <w:i w:val="1"/>
          <w:sz w:val="24"/>
          <w:szCs w:val="24"/>
          <w:rtl w:val="0"/>
        </w:rPr>
        <w:t xml:space="preserve">Qual Life Res.</w:t>
      </w:r>
      <w:r w:rsidDel="00000000" w:rsidR="00000000" w:rsidRPr="00000000">
        <w:rPr>
          <w:rFonts w:ascii="Times New Roman" w:cs="Times New Roman" w:eastAsia="Times New Roman" w:hAnsi="Times New Roman"/>
          <w:sz w:val="24"/>
          <w:szCs w:val="24"/>
          <w:rtl w:val="0"/>
        </w:rPr>
        <w:t xml:space="preserve"> 2016;25(10):2633-2643. doi:10.1007/s11136-016-1292-8 </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Fricke TR, Tahhan N, Resnikoff S, et al. Global prevalence of presbyopia and vision impairment from uncorrected presbyopia. </w:t>
      </w:r>
      <w:r w:rsidDel="00000000" w:rsidR="00000000" w:rsidRPr="00000000">
        <w:rPr>
          <w:rFonts w:ascii="Times New Roman" w:cs="Times New Roman" w:eastAsia="Times New Roman" w:hAnsi="Times New Roman"/>
          <w:i w:val="1"/>
          <w:sz w:val="24"/>
          <w:szCs w:val="24"/>
          <w:rtl w:val="0"/>
        </w:rPr>
        <w:t xml:space="preserve">Ophthalmology. </w:t>
      </w:r>
      <w:r w:rsidDel="00000000" w:rsidR="00000000" w:rsidRPr="00000000">
        <w:rPr>
          <w:rFonts w:ascii="Times New Roman" w:cs="Times New Roman" w:eastAsia="Times New Roman" w:hAnsi="Times New Roman"/>
          <w:sz w:val="24"/>
          <w:szCs w:val="24"/>
          <w:rtl w:val="0"/>
        </w:rPr>
        <w:t xml:space="preserve">2018;125(10):1492-1499. doi:10.1016/j.ophtha.2018.04.013 </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Gleeson M, Sherrington C, Keay L. Exercise and physical training improve physical function in older adults with visual impairments but their effect on falls is unclear: a systematic review.</w:t>
      </w:r>
      <w:r w:rsidDel="00000000" w:rsidR="00000000" w:rsidRPr="00000000">
        <w:rPr>
          <w:rFonts w:ascii="Times New Roman" w:cs="Times New Roman" w:eastAsia="Times New Roman" w:hAnsi="Times New Roman"/>
          <w:i w:val="1"/>
          <w:sz w:val="24"/>
          <w:szCs w:val="24"/>
          <w:rtl w:val="0"/>
        </w:rPr>
        <w:t xml:space="preserve"> J Physiother.</w:t>
      </w:r>
      <w:r w:rsidDel="00000000" w:rsidR="00000000" w:rsidRPr="00000000">
        <w:rPr>
          <w:rFonts w:ascii="Times New Roman" w:cs="Times New Roman" w:eastAsia="Times New Roman" w:hAnsi="Times New Roman"/>
          <w:sz w:val="24"/>
          <w:szCs w:val="24"/>
          <w:rtl w:val="0"/>
        </w:rPr>
        <w:t xml:space="preserve"> 2014;60(3):130-135. doi:10.1016/j.jphys.2014.06.010 </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Van Leeuwen LM, Rainey L, Kef S, van Rens GH, van Nispen RM. Investigating rehabilitation needs of visually impaired young adults according to the International Classification of Functioning, Disability and Health. </w:t>
      </w:r>
      <w:r w:rsidDel="00000000" w:rsidR="00000000" w:rsidRPr="00000000">
        <w:rPr>
          <w:rFonts w:ascii="Times New Roman" w:cs="Times New Roman" w:eastAsia="Times New Roman" w:hAnsi="Times New Roman"/>
          <w:i w:val="1"/>
          <w:sz w:val="24"/>
          <w:szCs w:val="24"/>
          <w:rtl w:val="0"/>
        </w:rPr>
        <w:t xml:space="preserve">Acta Ophthalmol. </w:t>
      </w:r>
      <w:r w:rsidDel="00000000" w:rsidR="00000000" w:rsidRPr="00000000">
        <w:rPr>
          <w:rFonts w:ascii="Times New Roman" w:cs="Times New Roman" w:eastAsia="Times New Roman" w:hAnsi="Times New Roman"/>
          <w:sz w:val="24"/>
          <w:szCs w:val="24"/>
          <w:rtl w:val="0"/>
        </w:rPr>
        <w:t xml:space="preserve">2015;93(7):642-650. doi:10.1111/aos.12782  </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Lieberman LJ, Ponchillia PE, Vlahas PSK. </w:t>
      </w:r>
      <w:r w:rsidDel="00000000" w:rsidR="00000000" w:rsidRPr="00000000">
        <w:rPr>
          <w:rFonts w:ascii="Times New Roman" w:cs="Times New Roman" w:eastAsia="Times New Roman" w:hAnsi="Times New Roman"/>
          <w:i w:val="1"/>
          <w:sz w:val="24"/>
          <w:szCs w:val="24"/>
          <w:rtl w:val="0"/>
        </w:rPr>
        <w:t xml:space="preserve">Physical Education and Sports for People with Visual Impairments and Deafblindness: Foundations of Instruction.</w:t>
      </w:r>
      <w:r w:rsidDel="00000000" w:rsidR="00000000" w:rsidRPr="00000000">
        <w:rPr>
          <w:rFonts w:ascii="Times New Roman" w:cs="Times New Roman" w:eastAsia="Times New Roman" w:hAnsi="Times New Roman"/>
          <w:sz w:val="24"/>
          <w:szCs w:val="24"/>
          <w:rtl w:val="0"/>
        </w:rPr>
        <w:t xml:space="preserve"> New York, NY: AFB Press; 2013. </w:t>
      </w:r>
    </w:p>
    <w:p w:rsidR="00000000" w:rsidDel="00000000" w:rsidP="00000000" w:rsidRDefault="00000000" w:rsidRPr="00000000" w14:paraId="0000000D">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Rivas Neira S, Pasqual Marques A, Pegito Pérez I, Fernández Cervantes R, Vivas Costa J. Effectiveness of aquatic therapy vs land-based therapy for balance and pain in women with fibromyalgia: A study protocol for a randomized controlled trial. </w:t>
      </w:r>
      <w:r w:rsidDel="00000000" w:rsidR="00000000" w:rsidRPr="00000000">
        <w:rPr>
          <w:rFonts w:ascii="Times New Roman" w:cs="Times New Roman" w:eastAsia="Times New Roman" w:hAnsi="Times New Roman"/>
          <w:i w:val="1"/>
          <w:sz w:val="24"/>
          <w:szCs w:val="24"/>
          <w:rtl w:val="0"/>
        </w:rPr>
        <w:t xml:space="preserve">BMC Musculoskelet Disord. </w:t>
      </w:r>
      <w:r w:rsidDel="00000000" w:rsidR="00000000" w:rsidRPr="00000000">
        <w:rPr>
          <w:rFonts w:ascii="Times New Roman" w:cs="Times New Roman" w:eastAsia="Times New Roman" w:hAnsi="Times New Roman"/>
          <w:sz w:val="24"/>
          <w:szCs w:val="24"/>
          <w:rtl w:val="0"/>
        </w:rPr>
        <w:t xml:space="preserve">2017;18(1). doi:10.1186/s12891-016-1364-5 </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Masiero S, Pranovi G, Di Pumpo M, et al. Does aquatic thermal therapy improve quality of life after total hip replacement? A retrospective preliminary pilot study.</w:t>
      </w:r>
      <w:r w:rsidDel="00000000" w:rsidR="00000000" w:rsidRPr="00000000">
        <w:rPr>
          <w:rFonts w:ascii="Times New Roman" w:cs="Times New Roman" w:eastAsia="Times New Roman" w:hAnsi="Times New Roman"/>
          <w:i w:val="1"/>
          <w:sz w:val="24"/>
          <w:szCs w:val="24"/>
          <w:rtl w:val="0"/>
        </w:rPr>
        <w:t xml:space="preserve"> Int J Biometeorol.</w:t>
      </w:r>
      <w:r w:rsidDel="00000000" w:rsidR="00000000" w:rsidRPr="00000000">
        <w:rPr>
          <w:rFonts w:ascii="Times New Roman" w:cs="Times New Roman" w:eastAsia="Times New Roman" w:hAnsi="Times New Roman"/>
          <w:sz w:val="24"/>
          <w:szCs w:val="24"/>
          <w:rtl w:val="0"/>
        </w:rPr>
        <w:t xml:space="preserve"> 2020;64(6):1023-1026. doi:10.1007/s00484-019-01846-3 </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Zanoni CT, Galvão F, Cliquet A, Saad ST. Pilot randomized controlled trial to evaluate the effect of aquatic and land physical therapy on musculoskeletal dysfunction of sickle cell disease patients. </w:t>
      </w:r>
      <w:r w:rsidDel="00000000" w:rsidR="00000000" w:rsidRPr="00000000">
        <w:rPr>
          <w:rFonts w:ascii="Times New Roman" w:cs="Times New Roman" w:eastAsia="Times New Roman" w:hAnsi="Times New Roman"/>
          <w:i w:val="1"/>
          <w:sz w:val="24"/>
          <w:szCs w:val="24"/>
          <w:rtl w:val="0"/>
        </w:rPr>
        <w:t xml:space="preserve">Rev Bras de Hematol Hemoter. </w:t>
      </w:r>
      <w:r w:rsidDel="00000000" w:rsidR="00000000" w:rsidRPr="00000000">
        <w:rPr>
          <w:rFonts w:ascii="Times New Roman" w:cs="Times New Roman" w:eastAsia="Times New Roman" w:hAnsi="Times New Roman"/>
          <w:sz w:val="24"/>
          <w:szCs w:val="24"/>
          <w:rtl w:val="0"/>
        </w:rPr>
        <w:t xml:space="preserve">2015;37(2):82-89. doi:10.1016/j.bjhh.2014.11.010 </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Saquetto MB, da Silva CM, Martinez BP, et al. Water-based exercise on functioning and quality of life in poststroke persons: a systematic review and meta-analysis. </w:t>
      </w:r>
      <w:r w:rsidDel="00000000" w:rsidR="00000000" w:rsidRPr="00000000">
        <w:rPr>
          <w:rFonts w:ascii="Times New Roman" w:cs="Times New Roman" w:eastAsia="Times New Roman" w:hAnsi="Times New Roman"/>
          <w:i w:val="1"/>
          <w:sz w:val="24"/>
          <w:szCs w:val="24"/>
          <w:rtl w:val="0"/>
        </w:rPr>
        <w:t xml:space="preserve">J Stroke Cerebrovasc Dis.</w:t>
      </w:r>
      <w:r w:rsidDel="00000000" w:rsidR="00000000" w:rsidRPr="00000000">
        <w:rPr>
          <w:rFonts w:ascii="Times New Roman" w:cs="Times New Roman" w:eastAsia="Times New Roman" w:hAnsi="Times New Roman"/>
          <w:sz w:val="24"/>
          <w:szCs w:val="24"/>
          <w:rtl w:val="0"/>
        </w:rPr>
        <w:t xml:space="preserve"> 2019;28(11):104341-104359. doi:10.1016/j.jstrokecerebrovasdis.2019.104341</w:t>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Downs S. The Berg Balance Scale. </w:t>
      </w:r>
      <w:r w:rsidDel="00000000" w:rsidR="00000000" w:rsidRPr="00000000">
        <w:rPr>
          <w:rFonts w:ascii="Times New Roman" w:cs="Times New Roman" w:eastAsia="Times New Roman" w:hAnsi="Times New Roman"/>
          <w:i w:val="1"/>
          <w:sz w:val="24"/>
          <w:szCs w:val="24"/>
          <w:rtl w:val="0"/>
        </w:rPr>
        <w:t xml:space="preserve">J Physiother.</w:t>
      </w:r>
      <w:r w:rsidDel="00000000" w:rsidR="00000000" w:rsidRPr="00000000">
        <w:rPr>
          <w:rFonts w:ascii="Times New Roman" w:cs="Times New Roman" w:eastAsia="Times New Roman" w:hAnsi="Times New Roman"/>
          <w:sz w:val="24"/>
          <w:szCs w:val="24"/>
          <w:rtl w:val="0"/>
        </w:rPr>
        <w:t xml:space="preserve"> 2015;61(1):46. doi:10.1016/j.jphys.2014.10.002</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Miranda-Cantellops N, Tiu TK. Berg balance testing. In: StatPearls [Internet]. Treasure Island, FL: StatPearls Publishing; 2023. Accessed February 19, 2023. Last updated October 17, 2023. https://www.ncbi.nlm.nih.gov/books/NBK574518/</w:t>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Jones CJ, Rikli RE, Beam WC. A 30-s chair-stand test as a measure of lower body strength in community-residing older adults.</w:t>
      </w:r>
      <w:r w:rsidDel="00000000" w:rsidR="00000000" w:rsidRPr="00000000">
        <w:rPr>
          <w:rFonts w:ascii="Times New Roman" w:cs="Times New Roman" w:eastAsia="Times New Roman" w:hAnsi="Times New Roman"/>
          <w:i w:val="1"/>
          <w:sz w:val="24"/>
          <w:szCs w:val="24"/>
          <w:rtl w:val="0"/>
        </w:rPr>
        <w:t xml:space="preserve"> Res Q Exerc Sport. </w:t>
      </w:r>
      <w:r w:rsidDel="00000000" w:rsidR="00000000" w:rsidRPr="00000000">
        <w:rPr>
          <w:rFonts w:ascii="Times New Roman" w:cs="Times New Roman" w:eastAsia="Times New Roman" w:hAnsi="Times New Roman"/>
          <w:sz w:val="24"/>
          <w:szCs w:val="24"/>
          <w:rtl w:val="0"/>
        </w:rPr>
        <w:t xml:space="preserve">1999;70(2):113-119. doi:10.1080/02701367.1999.10608028</w:t>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McCarthy EK, Horvat MA, Holtsberg PA, Wisenbaker JM. Repeated chair stands as a measure of lower limb strength in sexagenarian women. </w:t>
      </w:r>
      <w:r w:rsidDel="00000000" w:rsidR="00000000" w:rsidRPr="00000000">
        <w:rPr>
          <w:rFonts w:ascii="Times New Roman" w:cs="Times New Roman" w:eastAsia="Times New Roman" w:hAnsi="Times New Roman"/>
          <w:i w:val="1"/>
          <w:sz w:val="24"/>
          <w:szCs w:val="24"/>
          <w:rtl w:val="0"/>
        </w:rPr>
        <w:t xml:space="preserve">J Gerontol A Biol Sci Med Sci. </w:t>
      </w:r>
      <w:r w:rsidDel="00000000" w:rsidR="00000000" w:rsidRPr="00000000">
        <w:rPr>
          <w:rFonts w:ascii="Times New Roman" w:cs="Times New Roman" w:eastAsia="Times New Roman" w:hAnsi="Times New Roman"/>
          <w:sz w:val="24"/>
          <w:szCs w:val="24"/>
          <w:rtl w:val="0"/>
        </w:rPr>
        <w:t xml:space="preserve">2004;59(11):1207-1212. doi:10.1093/gerona/59.11.1207</w:t>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Brazier JE, Harper R, Jones NM, et al. Validating the SF-36 health survey questionnaire: new outcome measure for primary care. </w:t>
      </w:r>
      <w:r w:rsidDel="00000000" w:rsidR="00000000" w:rsidRPr="00000000">
        <w:rPr>
          <w:rFonts w:ascii="Times New Roman" w:cs="Times New Roman" w:eastAsia="Times New Roman" w:hAnsi="Times New Roman"/>
          <w:i w:val="1"/>
          <w:sz w:val="24"/>
          <w:szCs w:val="24"/>
          <w:rtl w:val="0"/>
        </w:rPr>
        <w:t xml:space="preserve">BMJ.</w:t>
      </w:r>
      <w:r w:rsidDel="00000000" w:rsidR="00000000" w:rsidRPr="00000000">
        <w:rPr>
          <w:rFonts w:ascii="Times New Roman" w:cs="Times New Roman" w:eastAsia="Times New Roman" w:hAnsi="Times New Roman"/>
          <w:sz w:val="24"/>
          <w:szCs w:val="24"/>
          <w:rtl w:val="0"/>
        </w:rPr>
        <w:t xml:space="preserve"> 1992;305:160. doi:10.1136/bmj.305.6846.160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